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9" w:rightChars="-9"/>
        <w:jc w:val="center"/>
      </w:pPr>
      <w:bookmarkStart w:id="0" w:name="_Toc29572_WPSOffice_Level1"/>
      <w:bookmarkStart w:id="1" w:name="_Toc141078026"/>
      <w:r>
        <w:rPr>
          <w:rFonts w:hint="eastAsia"/>
          <w:b/>
          <w:sz w:val="48"/>
          <w:szCs w:val="48"/>
        </w:rPr>
        <w:t>保养计划和项目</w:t>
      </w:r>
      <w:bookmarkEnd w:id="0"/>
    </w:p>
    <w:bookmarkEnd w:id="1"/>
    <w:p>
      <w:pPr>
        <w:snapToGrid w:val="0"/>
        <w:ind w:firstLine="48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A1  半月维护保养项目、内容和要求</w:t>
      </w:r>
    </w:p>
    <w:p>
      <w:pPr>
        <w:snapToGrid w:val="0"/>
        <w:ind w:firstLine="48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半月维护保养项目、内容和要求见表A-1</w:t>
      </w:r>
    </w:p>
    <w:p>
      <w:pPr>
        <w:snapToGrid w:val="0"/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表A-1  半月</w:t>
      </w:r>
      <w:bookmarkStart w:id="2" w:name="_GoBack"/>
      <w:r>
        <w:rPr>
          <w:rFonts w:hint="eastAsia" w:ascii="仿宋_GB2312" w:hAnsi="仿宋_GB2312" w:eastAsia="仿宋_GB2312" w:cs="仿宋_GB2312"/>
          <w:b/>
        </w:rPr>
        <w:t>维护保养项目、内容和要求</w:t>
      </w:r>
      <w:bookmarkEnd w:id="2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321"/>
        <w:gridCol w:w="5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维护保养项目、内容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机房、滑轮间环境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</w:t>
            </w:r>
            <w:r>
              <w:rPr>
                <w:rFonts w:hint="eastAsia" w:ascii="仿宋_GB2312" w:hAnsi="仿宋_GB2312" w:eastAsia="仿宋_GB2312" w:cs="仿宋_GB2312"/>
              </w:rPr>
              <w:t>门窗完好、照明正常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手动紧急操作装置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齐全，在指定位置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曳引机和电动机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trike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运行时无异常振动和异常声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制动器各销轴部位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润滑，动作灵活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制动器间隙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打开时制动衬与制动轮不应发生摩擦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编码器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清洁，安装牢固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限速器各销轴部位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润滑、转动灵活；电气开关正常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轿顶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清洁，防护拦安全可靠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轿顶检修开关、急停开关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导靴上油杯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吸油毛毡齐全，油量适宜，油杯无泄漏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对重块及压板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对重块无松动，压板紧固。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井道</w:t>
            </w:r>
            <w:r>
              <w:rPr>
                <w:rFonts w:hint="eastAsia" w:ascii="仿宋_GB2312" w:hAnsi="仿宋_GB2312" w:eastAsia="仿宋_GB2312" w:cs="仿宋_GB2312"/>
              </w:rPr>
              <w:t>照明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齐全、正常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轿厢照明、风扇、应急照明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轿厢检修开关、急停开关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轿内报警装置、对讲系统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trike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轿内显示、指令按钮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齐全、有效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轿门安全装置（安全触板，光幕、光电等）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功能有效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轿门门锁触点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清洁, 触点接触良好，接线可靠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轿门在开启和关闭时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轿厢平层精度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达到国家标准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层站召唤、层楼显示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齐全、有效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22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层门地坎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23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层门自动关门装置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层门门锁自动复位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用层门钥匙打开手动开锁装置释放后，层门门锁能自动复位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层门门锁电气触点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清洁, 触点接触良好，接线可靠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层门锁紧元件啮合长度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不小于7mm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底坑环境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清洁，无渗水、积水；照明正常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332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底坑急停开关</w:t>
            </w:r>
          </w:p>
        </w:tc>
        <w:tc>
          <w:tcPr>
            <w:tcW w:w="503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</w:tbl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A2  季度维护保养项目、内容和要求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除半月维护保养项目外，还应当增加表A-2的项目、内容。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 xml:space="preserve">表A-2  </w:t>
      </w:r>
      <w:r>
        <w:rPr>
          <w:rFonts w:hint="eastAsia" w:ascii="仿宋_GB2312" w:hAnsi="仿宋_GB2312" w:eastAsia="仿宋_GB2312" w:cs="仿宋_GB2312"/>
          <w:b/>
        </w:rPr>
        <w:softHyphen/>
      </w:r>
      <w:r>
        <w:rPr>
          <w:rFonts w:hint="eastAsia" w:ascii="仿宋_GB2312" w:hAnsi="仿宋_GB2312" w:eastAsia="仿宋_GB2312" w:cs="仿宋_GB2312"/>
          <w:b/>
        </w:rPr>
        <w:t>季度维护保养增加的项目、内容和要求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25"/>
        <w:gridCol w:w="4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维护保养项目、内容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减速箱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油量适宜，除蜗杆伸出端外均无渗漏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制动衬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清洁，磨损量不超过制造单位要求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位置脉冲发生器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选层器动静触点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清洁，无烧蚀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曳引轮槽、曳引钢丝绳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清洁、无严重油腻，张力均匀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限速器轮槽、限速器钢丝绳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清洁、无严重油腻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靴衬、滚轮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清洁，磨损量不超过制造厂家要求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验证轿门关闭的电气安全装置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层门、轿门系统中传动钢丝绳、链条、胶带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按制造单位要求进行清洁、调整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层门门导靴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磨损量不超过制造厂家要求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消防开关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工作正常，功能有效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耗能缓冲器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电气安全装置功能有效，油量适宜，柱塞无锈蚀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525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限速器涨紧轮装置和电气安全装置</w:t>
            </w:r>
          </w:p>
        </w:tc>
        <w:tc>
          <w:tcPr>
            <w:tcW w:w="485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</w:tbl>
    <w:p>
      <w:pPr>
        <w:snapToGrid w:val="0"/>
        <w:spacing w:line="360" w:lineRule="auto"/>
        <w:rPr>
          <w:rFonts w:ascii="仿宋_GB2312" w:hAnsi="仿宋_GB2312" w:eastAsia="仿宋_GB2312" w:cs="仿宋_GB231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A3  半年维护保养项目、内容和要求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除季度维护保养项目外，还应当增加表A-3的项目、内容。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表A-3  </w:t>
      </w:r>
      <w:r>
        <w:rPr>
          <w:rFonts w:hint="eastAsia" w:ascii="仿宋_GB2312" w:hAnsi="仿宋_GB2312" w:eastAsia="仿宋_GB2312" w:cs="仿宋_GB2312"/>
          <w:b/>
        </w:rPr>
        <w:t>半年维护保养增加的项目、内容和要求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14"/>
        <w:gridCol w:w="4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维护保养项目、内容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维护保养基本要求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电动机与曳引机连轴器螺栓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无松动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曳引轮、导向轮轴承部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无异常声,无振动,润滑良好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制动器上检测开关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工作正常,制动器动作可靠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控制柜内各接线端子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各接线紧固，整齐,线号齐全清晰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控制柜各仪表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显示正确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井道、对重、轿顶各反绳轮轴承部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无异常声,无振动,润滑良好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曳引绳、补偿绳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磨损量、断丝数不超过检规要求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曳引绳绳头组合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螺母无松动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限速器钢丝绳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磨损量、断丝数不超过制造厂家要求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层门、轿门门扇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门扇各相关间隙符合国家标准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对重缓冲距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符合国家标准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补偿链（绳）与轿厢、对重连处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固定、无松动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714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上下极限开关</w:t>
            </w:r>
          </w:p>
        </w:tc>
        <w:tc>
          <w:tcPr>
            <w:tcW w:w="4411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</w:tbl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A4  年度维护保养项目、内容和要求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除半年维护保养项目外，还应当增加表A-4的项目、内容。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</w:rPr>
        <w:t xml:space="preserve">表A-4  </w:t>
      </w:r>
      <w:r>
        <w:rPr>
          <w:rFonts w:hint="eastAsia" w:ascii="仿宋_GB2312" w:hAnsi="仿宋_GB2312" w:eastAsia="仿宋_GB2312" w:cs="仿宋_GB2312"/>
        </w:rPr>
        <w:softHyphen/>
      </w:r>
      <w:r>
        <w:rPr>
          <w:rFonts w:hint="eastAsia" w:ascii="仿宋_GB2312" w:hAnsi="仿宋_GB2312" w:eastAsia="仿宋_GB2312" w:cs="仿宋_GB2312"/>
        </w:rPr>
        <w:t>年度维护保养增加的项目、内容和要求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709"/>
        <w:gridCol w:w="4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保养项目、内容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保养基本要求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减速箱内齿轮油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按制造单位要求适时更换，保证油质符合要求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控制柜接触器，继电器触点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接触良好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制动器铁芯（柱塞）分解检查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清洁、润滑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制动器制动弹簧压缩量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符合制造单位要求，保持有足够的制动力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导电回路绝缘性能测试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符合标准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上、下行限速器安全钳联动试验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工作正常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轿顶、轿厢架、轿门及附件安装螺栓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紧固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轿厢和对重导轨支架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固定、无松动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轿厢及对重导轨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清洁，压板牢固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随行电缆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无损伤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层门装置和地坎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无影响正常使用的变形，各安装螺栓紧固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轿厢称重装置试验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准确有效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安全钳钳座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固定、无松动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轿底各安装螺栓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紧固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3709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缓冲器</w:t>
            </w:r>
          </w:p>
        </w:tc>
        <w:tc>
          <w:tcPr>
            <w:tcW w:w="4640" w:type="dxa"/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固定、无松动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Yzg2Y2NiZGE1YmI0ZTUyYmVmM2E0ODVhNDVhMzYifQ=="/>
  </w:docVars>
  <w:rsids>
    <w:rsidRoot w:val="00000000"/>
    <w:rsid w:val="7369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2022-12-23T07:27:31Z</dcterms:created>
  <dc:creator>Administrator</dc:creator>
  <cp:lastModifiedBy>青菜白玉</cp:lastModifiedBy>
  <dcterms:modified xsi:type="dcterms:W3CDTF">2022-12-23T07:27:53Z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96C14F5791A04B63B7E82C5D6275F1C8</vt:lpwstr>
  </property>
</Properties>
</file>